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Aptos" w:hAnsi="Aptos"/>
          <w:b/>
          <w:color w:val="B8831F"/>
          <w:sz w:val="18"/>
        </w:rPr>
        <w:t>GESTÃO ESCOLAR • CRISES E CONTINUIDADE</w:t>
      </w:r>
    </w:p>
    <w:p>
      <w:pPr>
        <w:pStyle w:val="Title"/>
        <w:spacing w:after="80"/>
      </w:pPr>
      <w:r>
        <w:t>Gestão de Crises no Ambiente Escolar: preparar antes, comunicar durante e aprender depois</w:t>
      </w:r>
    </w:p>
    <w:p>
      <w:pPr>
        <w:spacing w:after="160"/>
      </w:pPr>
      <w:r>
        <w:rPr>
          <w:i/>
          <w:color w:val="6B7280"/>
          <w:sz w:val="22"/>
        </w:rPr>
        <w:t>Crises não são apenas grandes desastres. Para a escola, uma crise é qualquer situação que ameaça segurança, continuidade, confiança ou capacidade de aprendizagem e exige decisões sob pressão.</w:t>
      </w:r>
    </w:p>
    <w:p>
      <w:pPr>
        <w:spacing w:after="200"/>
      </w:pPr>
      <w:r>
        <w:rPr>
          <w:color w:val="6B7280"/>
          <w:sz w:val="18"/>
        </w:rPr>
        <w:t>Por Prof. Eng. Josecler Silva  |  Série Educação &amp; Gestão  |  Atualizado em agosto de 2026</w:t>
      </w:r>
    </w:p>
    <w:tbl>
      <w:tblPr>
        <w:tblW w:type="auto" w:w="0"/>
        <w:tblLayout w:type="autofit"/>
        <w:tblLook w:firstColumn="1" w:firstRow="1" w:lastColumn="0" w:lastRow="0" w:noHBand="0" w:noVBand="1" w:val="04A0"/>
      </w:tblPr>
      <w:tblGrid>
        <w:gridCol w:w="9878"/>
      </w:tblGrid>
      <w:tr>
        <w:tc>
          <w:tcPr>
            <w:tcW w:type="dxa" w:w="9878"/>
            <w:shd w:fill="F8F2E6"/>
            <w:tcMar>
              <w:top w:w="170" w:type="dxa"/>
              <w:start w:w="180" w:type="dxa"/>
              <w:bottom w:w="170" w:type="dxa"/>
              <w:end w:w="180" w:type="dxa"/>
            </w:tcMar>
            <w:vAlign w:val="center"/>
          </w:tcPr>
          <w:p>
            <w:pPr>
              <w:spacing w:after="60"/>
            </w:pPr>
            <w:r>
              <w:rPr>
                <w:b/>
                <w:color w:val="B8831F"/>
                <w:sz w:val="17"/>
              </w:rPr>
              <w:t>EM UMA FRASE</w:t>
            </w:r>
          </w:p>
          <w:p>
            <w:pPr>
              <w:spacing w:after="0"/>
            </w:pPr>
            <w:r>
              <w:rPr>
                <w:color w:val="26313D"/>
                <w:sz w:val="20"/>
              </w:rPr>
              <w:t>A qualidade da resposta a uma crise é construída muito antes do evento: escolas resilientes conhecem seus riscos, definem papéis, treinam comunicação, protegem pessoas e possuem planos simples que podem ser adaptados quando a realidade foge do roteiro.</w:t>
            </w:r>
          </w:p>
        </w:tc>
      </w:tr>
    </w:tbl>
    <w:p>
      <w:pPr>
        <w:spacing w:after="0"/>
      </w:pPr>
    </w:p>
    <w:p>
      <w:pPr>
        <w:pStyle w:val="Heading1"/>
        <w:keepNext/>
        <w:spacing w:before="180" w:after="80"/>
      </w:pPr>
      <w:r>
        <w:t>O que caracteriza uma crise escolar</w:t>
      </w:r>
    </w:p>
    <w:p>
      <w:pPr>
        <w:spacing w:after="120" w:line="259" w:lineRule="auto"/>
      </w:pPr>
      <w:r>
        <w:t>Crise é um evento que ultrapassa a capacidade de resposta rotineira e exige coordenação rápida. Pode envolver violência, ameaça, acidente, falha grave de infraestrutura, interrupção de energia ou sistemas, desastre climático, exposição indevida de dados, morte na comunidade, denúncia de grande impacto, problema sanitário ou situação que comprometa a confiança pública na instituição.</w:t>
      </w:r>
    </w:p>
    <w:p>
      <w:pPr>
        <w:spacing w:after="120" w:line="259" w:lineRule="auto"/>
      </w:pPr>
      <w:r>
        <w:t>O estudo de Damaceno Filho e Darius, publicado em 2025, analisou percepções e estratégias de diretores escolares sobre crises e conflitos. Os resultados destacaram problemas de comunicação, conflitos internos e falta de formação específica, além da necessidade de protocolos de segurança, escuta ativa e comunicação transparente. A mensagem prática é clara: improviso pode ser inevitável em parte, mas despreparo não precisa ser.</w:t>
      </w:r>
    </w:p>
    <w:p>
      <w:pPr>
        <w:pStyle w:val="Heading1"/>
        <w:keepNext/>
        <w:spacing w:before="180" w:after="80"/>
      </w:pPr>
      <w:r>
        <w:t>Prevenção começa com análise de risco, não com medo</w:t>
      </w:r>
    </w:p>
    <w:p>
      <w:pPr>
        <w:spacing w:after="120" w:line="259" w:lineRule="auto"/>
      </w:pPr>
      <w:r>
        <w:t>Uma escola não deve transformar o cotidiano em estado permanente de alerta. Gestão de risco madura é o contrário: olhar para vulnerabilidades de forma racional para reduzir ansiedade e aumentar previsibilidade. O IIEP-UNESCO trabalha com a ideia de planejamento educacional sensível a crises, baseado em identificação de riscos, uso de dados, coordenação e preparação para continuidade da aprendizagem.</w:t>
      </w:r>
    </w:p>
    <w:p>
      <w:pPr>
        <w:spacing w:after="120" w:line="259" w:lineRule="auto"/>
      </w:pPr>
      <w:r>
        <w:t>Um mapa simples pode classificar riscos pela combinação entre probabilidade e impacto. Não é necessário prever tudo. É mais útil identificar eventos plausíveis e críticos: evacuação, atendimento médico, indisponibilidade de internet, ausência repentina de profissionais-chave, ameaça externa, perda de dados ou suspensão temporária das atividades presenciais.</w:t>
      </w:r>
    </w:p>
    <w:p>
      <w:pPr>
        <w:pStyle w:val="Heading1"/>
        <w:keepNext/>
        <w:spacing w:before="180" w:after="80"/>
      </w:pPr>
      <w:r>
        <w:t>Plano de crise precisa caber na cabeça — e no bolso</w:t>
      </w:r>
    </w:p>
    <w:p>
      <w:pPr>
        <w:spacing w:after="120" w:line="259" w:lineRule="auto"/>
      </w:pPr>
      <w:r>
        <w:t>Planos extensos que ninguém conhece têm pouco valor operacional. O núcleo de um plano de crise escolar deve responder perguntas objetivas: quem lidera? Quem aciona serviços externos? Quem comunica famílias? Quem registra fatos? Para onde estudantes são conduzidos? Quem assume se o titular não estiver presente? Como preservar continuidade das aulas e atendimento após a fase aguda?</w:t>
      </w:r>
    </w:p>
    <w:p>
      <w:pPr>
        <w:spacing w:after="60"/>
        <w:ind w:left="259" w:hanging="202"/>
      </w:pPr>
      <w:r>
        <w:rPr>
          <w:sz w:val="20"/>
        </w:rPr>
        <w:t>• Lista atualizada de contatos críticos e substitutos.</w:t>
      </w:r>
    </w:p>
    <w:p>
      <w:pPr>
        <w:spacing w:after="60"/>
        <w:ind w:left="259" w:hanging="202"/>
      </w:pPr>
      <w:r>
        <w:rPr>
          <w:sz w:val="20"/>
        </w:rPr>
        <w:t>• Papéis definidos para direção, coordenação, secretaria, portaria e demais equipes.</w:t>
      </w:r>
    </w:p>
    <w:p>
      <w:pPr>
        <w:spacing w:after="60"/>
        <w:ind w:left="259" w:hanging="202"/>
      </w:pPr>
      <w:r>
        <w:rPr>
          <w:sz w:val="20"/>
        </w:rPr>
        <w:t>• Protocolos para evacuação, abrigo e atendimento médico.</w:t>
      </w:r>
    </w:p>
    <w:p>
      <w:pPr>
        <w:spacing w:after="60"/>
        <w:ind w:left="259" w:hanging="202"/>
      </w:pPr>
      <w:r>
        <w:rPr>
          <w:sz w:val="20"/>
        </w:rPr>
        <w:t>• Modelo de comunicação inicial, com compromisso de atualizar informações em horário definido.</w:t>
      </w:r>
    </w:p>
    <w:p>
      <w:pPr>
        <w:spacing w:after="60"/>
        <w:ind w:left="259" w:hanging="202"/>
      </w:pPr>
      <w:r>
        <w:rPr>
          <w:sz w:val="20"/>
        </w:rPr>
        <w:t>• Critério para acionar autoridades, mantenedora ou rede de ensino.</w:t>
      </w:r>
    </w:p>
    <w:p>
      <w:pPr>
        <w:spacing w:after="60"/>
        <w:ind w:left="259" w:hanging="202"/>
      </w:pPr>
      <w:r>
        <w:rPr>
          <w:sz w:val="20"/>
        </w:rPr>
        <w:t>• Plano de continuidade pedagógica para interrupções relevantes.</w:t>
      </w:r>
    </w:p>
    <w:p>
      <w:pPr>
        <w:spacing w:after="60"/>
        <w:ind w:left="259" w:hanging="202"/>
      </w:pPr>
      <w:r>
        <w:rPr>
          <w:sz w:val="20"/>
        </w:rPr>
        <w:t>• Registro cronológico do ocorrido e das decisões tomadas.</w:t>
      </w:r>
    </w:p>
    <w:p>
      <w:pPr>
        <w:pStyle w:val="Heading1"/>
        <w:keepNext/>
        <w:spacing w:before="180" w:after="80"/>
      </w:pPr>
      <w:r>
        <w:t>Comunicação é parte da resposta — não um detalhe posterior</w:t>
      </w:r>
    </w:p>
    <w:p>
      <w:pPr>
        <w:spacing w:after="120" w:line="259" w:lineRule="auto"/>
      </w:pPr>
      <w:r>
        <w:t>Em uma crise, o vazio de informação é rapidamente preenchido por boatos. A gestão precisa comunicar com rapidez suficiente para reduzir incerteza e com prudência suficiente para não divulgar informações incorretas, sensíveis ou prematuras.</w:t>
      </w:r>
    </w:p>
    <w:p>
      <w:pPr>
        <w:spacing w:after="120" w:line="259" w:lineRule="auto"/>
      </w:pPr>
      <w:r>
        <w:t>Uma boa mensagem inicial responde quatro pontos: o que se sabe; o que a escola está fazendo; o que as pessoas precisam fazer agora; quando haverá nova atualização. Evite especulações, culpados precoces e detalhes pessoais. A transparência não significa publicar tudo imediatamente; significa dizer a verdade sobre o que está confirmado e sobre o que ainda está sendo verificado.</w:t>
      </w:r>
    </w:p>
    <w:p>
      <w:pPr>
        <w:pStyle w:val="Heading1"/>
        <w:keepNext/>
        <w:spacing w:before="180" w:after="80"/>
      </w:pPr>
      <w:r>
        <w:t>Três Cs da liderança em crise: comunicação, coordenação e colaboração</w:t>
      </w:r>
    </w:p>
    <w:p>
      <w:pPr>
        <w:spacing w:after="120" w:line="259" w:lineRule="auto"/>
      </w:pPr>
      <w:r>
        <w:t>O IIEP-UNESCO destaca comunicação, coordenação e colaboração como dimensões essenciais da liderança em crise. No nível da escola, isso significa reconhecer que nenhuma direção consegue responder sozinha. Serviços de saúde, segurança, assistência social, rede de ensino, famílias e comunidade podem ser necessários conforme o caso.</w:t>
      </w:r>
    </w:p>
    <w:p>
      <w:pPr>
        <w:spacing w:after="120" w:line="259" w:lineRule="auto"/>
      </w:pPr>
      <w:r>
        <w:t>A coordenação deve ser construída antes. Contatos atualizados, critérios de acionamento e clareza de papéis diminuem tempo de resposta. Relações de confiança criadas em períodos tranquilos tornam-se infraestrutura invisível durante a emergência.</w:t>
      </w:r>
    </w:p>
    <w:p>
      <w:pPr>
        <w:pStyle w:val="Heading1"/>
        <w:keepNext/>
        <w:spacing w:before="180" w:after="80"/>
      </w:pPr>
      <w:r>
        <w:t>Depois da crise: a fase que mais ensina</w:t>
      </w:r>
    </w:p>
    <w:p>
      <w:pPr>
        <w:spacing w:after="120" w:line="259" w:lineRule="auto"/>
      </w:pPr>
      <w:r>
        <w:t>Quando a urgência termina, existe tendência de “voltar ao normal” rapidamente. Mas crises deixam efeitos: medo, exaustão, dúvidas, desgaste entre pessoas e lacunas processuais. A recuperação precisa incluir apoio socioemocional quando necessário, comunicação de encerramento e análise de lições aprendidas.</w:t>
      </w:r>
    </w:p>
    <w:p>
      <w:pPr>
        <w:spacing w:after="80"/>
        <w:ind w:left="259" w:hanging="202"/>
      </w:pPr>
      <w:r>
        <w:rPr>
          <w:sz w:val="20"/>
        </w:rPr>
        <w:t>1. Reúna a equipe central e reconstrua a linha do tempo factual.</w:t>
      </w:r>
    </w:p>
    <w:p>
      <w:pPr>
        <w:spacing w:after="80"/>
        <w:ind w:left="259" w:hanging="202"/>
      </w:pPr>
      <w:r>
        <w:rPr>
          <w:sz w:val="20"/>
        </w:rPr>
        <w:t>2. Identifique o que funcionou, o que falhou e quais decisões dependeram de improviso.</w:t>
      </w:r>
    </w:p>
    <w:p>
      <w:pPr>
        <w:spacing w:after="80"/>
        <w:ind w:left="259" w:hanging="202"/>
      </w:pPr>
      <w:r>
        <w:rPr>
          <w:sz w:val="20"/>
        </w:rPr>
        <w:t>3. Ouça os grupos mais afetados.</w:t>
      </w:r>
    </w:p>
    <w:p>
      <w:pPr>
        <w:spacing w:after="80"/>
        <w:ind w:left="259" w:hanging="202"/>
      </w:pPr>
      <w:r>
        <w:rPr>
          <w:sz w:val="20"/>
        </w:rPr>
        <w:t>4. Atualize protocolos, contatos, treinamentos e infraestrutura.</w:t>
      </w:r>
    </w:p>
    <w:p>
      <w:pPr>
        <w:spacing w:after="80"/>
        <w:ind w:left="259" w:hanging="202"/>
      </w:pPr>
      <w:r>
        <w:rPr>
          <w:sz w:val="20"/>
        </w:rPr>
        <w:t>5. Comunique mudanças adotadas sem expor pessoas.</w:t>
      </w:r>
    </w:p>
    <w:p>
      <w:pPr>
        <w:spacing w:after="80"/>
        <w:ind w:left="259" w:hanging="202"/>
      </w:pPr>
      <w:r>
        <w:rPr>
          <w:sz w:val="20"/>
        </w:rPr>
        <w:t>6. Planeje a recuperação pedagógica se houver perda de aulas ou impacto significativo sobre estudantes.</w:t>
      </w:r>
    </w:p>
    <w:p>
      <w:pPr>
        <w:pStyle w:val="Heading1"/>
        <w:keepNext/>
        <w:spacing w:before="180" w:after="80"/>
      </w:pPr>
      <w:r>
        <w:t>Simulações curtas valem mais do que documentos esquecidos</w:t>
      </w:r>
    </w:p>
    <w:p>
      <w:pPr>
        <w:spacing w:after="120" w:line="259" w:lineRule="auto"/>
      </w:pPr>
      <w:r>
        <w:t>Uma escola pode testar seus planos sem criar pânico. Exercícios de mesa são simples: a equipe recebe um cenário hipotético — queda total do sistema durante avaliações, princípio de incêndio, ameaça externa, acidente com estudante — e responde em quinze minutos quem faria o quê. O objetivo não é acertar tudo, mas descobrir ambiguidade de papéis antes de uma situação real.</w:t>
      </w:r>
    </w:p>
    <w:p>
      <w:pPr>
        <w:spacing w:after="120" w:line="259" w:lineRule="auto"/>
      </w:pPr>
      <w:r>
        <w:t>Gestão de crise é uma competência organizacional. Quanto menos depende da memória de uma pessoa, mais resiliente a escola se torna.</w:t>
      </w:r>
    </w:p>
    <w:p>
      <w:pPr>
        <w:pStyle w:val="Heading1"/>
        <w:keepNext/>
        <w:spacing w:before="180" w:after="80"/>
      </w:pPr>
      <w:r>
        <w:t>Checklist para a gestão</w:t>
      </w:r>
    </w:p>
    <w:tbl>
      <w:tblPr>
        <w:tblW w:type="auto" w:w="0"/>
        <w:tblLook w:firstColumn="1" w:firstRow="1" w:lastColumn="0" w:lastRow="0" w:noHBand="0" w:noVBand="1" w:val="04A0"/>
      </w:tblPr>
      <w:tblGrid>
        <w:gridCol w:w="9878"/>
      </w:tblGrid>
      <w:tr>
        <w:tc>
          <w:tcPr>
            <w:tcW w:type="dxa" w:w="9878"/>
            <w:shd w:fill="EEF2F5"/>
            <w:tcMar>
              <w:top w:w="150" w:type="dxa"/>
              <w:start w:w="170" w:type="dxa"/>
              <w:bottom w:w="150" w:type="dxa"/>
              <w:end w:w="170" w:type="dxa"/>
            </w:tcMar>
          </w:tcPr>
          <w:p>
            <w:pPr>
              <w:spacing w:after="40"/>
            </w:pPr>
            <w:r/>
            <w:r>
              <w:rPr>
                <w:color w:val="26313D"/>
                <w:sz w:val="19"/>
              </w:rPr>
              <w:t>✓  A escola possui contatos de emergência e substitutos atualizados.</w:t>
            </w:r>
          </w:p>
          <w:p>
            <w:pPr>
              <w:spacing w:after="40"/>
            </w:pPr>
            <w:r>
              <w:rPr>
                <w:color w:val="26313D"/>
                <w:sz w:val="19"/>
              </w:rPr>
              <w:t>✓  Os riscos críticos foram mapeados por probabilidade e impacto.</w:t>
            </w:r>
          </w:p>
          <w:p>
            <w:pPr>
              <w:spacing w:after="40"/>
            </w:pPr>
            <w:r>
              <w:rPr>
                <w:color w:val="26313D"/>
                <w:sz w:val="19"/>
              </w:rPr>
              <w:t>✓  Há papéis claros para comunicação, segurança, registro e continuidade.</w:t>
            </w:r>
          </w:p>
          <w:p>
            <w:pPr>
              <w:spacing w:after="40"/>
            </w:pPr>
            <w:r>
              <w:rPr>
                <w:color w:val="26313D"/>
                <w:sz w:val="19"/>
              </w:rPr>
              <w:t>✓  A equipe sabe quem assume a liderança se o diretor estiver ausente.</w:t>
            </w:r>
          </w:p>
          <w:p>
            <w:pPr>
              <w:spacing w:after="40"/>
            </w:pPr>
            <w:r>
              <w:rPr>
                <w:color w:val="26313D"/>
                <w:sz w:val="19"/>
              </w:rPr>
              <w:t>✓  Existem modelos simples de mensagens para situações críticas.</w:t>
            </w:r>
          </w:p>
          <w:p>
            <w:pPr>
              <w:spacing w:after="40"/>
            </w:pPr>
            <w:r>
              <w:rPr>
                <w:color w:val="26313D"/>
                <w:sz w:val="19"/>
              </w:rPr>
              <w:t>✓  Ao menos uma simulação de mesa é realizada por semestre.</w:t>
            </w:r>
          </w:p>
          <w:p>
            <w:pPr>
              <w:spacing w:after="40"/>
            </w:pPr>
            <w:r>
              <w:rPr>
                <w:color w:val="26313D"/>
                <w:sz w:val="19"/>
              </w:rPr>
              <w:t>✓  Toda crise relevante gera uma revisão de lições aprendidas e atualização do plano.</w:t>
            </w:r>
          </w:p>
        </w:tc>
      </w:tr>
    </w:tbl>
    <w:p>
      <w:pPr>
        <w:spacing w:after="0"/>
      </w:pPr>
    </w:p>
    <w:p>
      <w:pPr>
        <w:pStyle w:val="Heading1"/>
        <w:keepNext/>
        <w:spacing w:before="180" w:after="80"/>
      </w:pPr>
      <w:r>
        <w:t>Conclusão</w:t>
      </w:r>
    </w:p>
    <w:p>
      <w:pPr>
        <w:spacing w:after="120" w:line="259" w:lineRule="auto"/>
      </w:pPr>
      <w:r>
        <w:t>Crises colocam a gestão diante do que há de mais difícil: decidir com informação incompleta, proteger pessoas e manter confiança sob pressão. Não existe plano capaz de eliminar incerteza, mas existe preparação capaz de reduzir caos. Escolas resilientes analisam riscos sem alarmismo, treinam papéis, fortalecem redes, comunicam com transparência e aprendem depois de cada ocorrência. A maturidade de uma instituição aparece não na promessa de que nada dará errado, mas na capacidade de responder com humanidade, clareza e coordenação quando algo inevitavelmente sai do roteiro.</w:t>
      </w:r>
    </w:p>
    <w:p>
      <w:pPr>
        <w:pStyle w:val="Heading1"/>
        <w:keepNext/>
        <w:spacing w:before="180" w:after="80"/>
      </w:pPr>
      <w:r>
        <w:t>Para publicação no site</w:t>
      </w:r>
    </w:p>
    <w:tbl>
      <w:tblPr>
        <w:tblW w:type="auto" w:w="0"/>
        <w:tblLayout w:type="fixed"/>
        <w:tblLook w:firstColumn="1" w:firstRow="1" w:lastColumn="0" w:lastRow="0" w:noHBand="0" w:noVBand="1" w:val="04A0"/>
      </w:tblPr>
      <w:tblGrid>
        <w:gridCol w:w="1944"/>
        <w:gridCol w:w="7992"/>
      </w:tblGrid>
      <w:tr>
        <w:tc>
          <w:tcPr>
            <w:tcW w:type="dxa" w:w="1944"/>
            <w:shd w:fill="F8F2E6"/>
            <w:tcMar>
              <w:top w:w="90" w:type="dxa"/>
              <w:start w:w="100" w:type="dxa"/>
              <w:bottom w:w="90" w:type="dxa"/>
              <w:end w:w="100" w:type="dxa"/>
            </w:tcMar>
          </w:tcPr>
          <w:p>
            <w:pPr>
              <w:spacing w:after="0"/>
            </w:pPr>
            <w:r>
              <w:rPr>
                <w:b/>
                <w:color w:val="26313D"/>
                <w:sz w:val="17"/>
              </w:rPr>
              <w:t>Meta description</w:t>
            </w:r>
          </w:p>
        </w:tc>
        <w:tc>
          <w:tcPr>
            <w:tcW w:type="dxa" w:w="7992"/>
            <w:tcMar>
              <w:top w:w="90" w:type="dxa"/>
              <w:start w:w="100" w:type="dxa"/>
              <w:bottom w:w="90" w:type="dxa"/>
              <w:end w:w="100" w:type="dxa"/>
            </w:tcMar>
          </w:tcPr>
          <w:p>
            <w:pPr>
              <w:spacing w:after="0"/>
            </w:pPr>
            <w:r>
              <w:rPr>
                <w:color w:val="26313D"/>
                <w:sz w:val="17"/>
              </w:rPr>
              <w:t>Guia de gestão de crises no ambiente escolar: análise de riscos, protocolos, comunicação, continuidade, liderança e aprendizagem pós-crise para escolas resilientes.</w:t>
            </w:r>
          </w:p>
        </w:tc>
      </w:tr>
      <w:tr>
        <w:tc>
          <w:tcPr>
            <w:tcW w:type="dxa" w:w="1944"/>
            <w:shd w:fill="F8F2E6"/>
            <w:tcMar>
              <w:top w:w="90" w:type="dxa"/>
              <w:start w:w="100" w:type="dxa"/>
              <w:bottom w:w="90" w:type="dxa"/>
              <w:end w:w="100" w:type="dxa"/>
            </w:tcMar>
          </w:tcPr>
          <w:p>
            <w:pPr>
              <w:spacing w:after="0"/>
            </w:pPr>
            <w:r>
              <w:rPr>
                <w:b/>
                <w:color w:val="26313D"/>
                <w:sz w:val="17"/>
              </w:rPr>
              <w:t>Palavras-chave</w:t>
            </w:r>
          </w:p>
        </w:tc>
        <w:tc>
          <w:tcPr>
            <w:tcW w:type="dxa" w:w="7992"/>
            <w:tcMar>
              <w:top w:w="90" w:type="dxa"/>
              <w:start w:w="100" w:type="dxa"/>
              <w:bottom w:w="90" w:type="dxa"/>
              <w:end w:w="100" w:type="dxa"/>
            </w:tcMar>
          </w:tcPr>
          <w:p>
            <w:pPr>
              <w:spacing w:after="0"/>
            </w:pPr>
            <w:r>
              <w:rPr>
                <w:color w:val="26313D"/>
                <w:sz w:val="17"/>
              </w:rPr>
              <w:t>gestão de crise escolar; segurança escolar; liderança em crise; plano de contingência; comunicação escolar; resiliência; gestão de riscos</w:t>
            </w:r>
          </w:p>
        </w:tc>
      </w:tr>
      <w:tr>
        <w:tc>
          <w:tcPr>
            <w:tcW w:type="dxa" w:w="1944"/>
            <w:shd w:fill="F8F2E6"/>
            <w:tcMar>
              <w:top w:w="90" w:type="dxa"/>
              <w:start w:w="100" w:type="dxa"/>
              <w:bottom w:w="90" w:type="dxa"/>
              <w:end w:w="100" w:type="dxa"/>
            </w:tcMar>
          </w:tcPr>
          <w:p>
            <w:pPr>
              <w:spacing w:after="0"/>
            </w:pPr>
            <w:r>
              <w:rPr>
                <w:b/>
                <w:color w:val="26313D"/>
                <w:sz w:val="17"/>
              </w:rPr>
              <w:t>Slug sugerido</w:t>
            </w:r>
          </w:p>
        </w:tc>
        <w:tc>
          <w:tcPr>
            <w:tcW w:type="dxa" w:w="7992"/>
            <w:tcMar>
              <w:top w:w="90" w:type="dxa"/>
              <w:start w:w="100" w:type="dxa"/>
              <w:bottom w:w="90" w:type="dxa"/>
              <w:end w:w="100" w:type="dxa"/>
            </w:tcMar>
          </w:tcPr>
          <w:p>
            <w:pPr>
              <w:spacing w:after="0"/>
            </w:pPr>
            <w:r>
              <w:rPr>
                <w:color w:val="26313D"/>
                <w:sz w:val="17"/>
              </w:rPr>
              <w:t>gestao-crises-ambiente-escolar-planejamento-comunicacao-resiliencia</w:t>
            </w:r>
          </w:p>
        </w:tc>
      </w:tr>
    </w:tbl>
    <w:p>
      <w:pPr>
        <w:pStyle w:val="Heading1"/>
        <w:keepNext/>
        <w:spacing w:before="180" w:after="80"/>
      </w:pPr>
      <w:r>
        <w:t>Fontes e leituras recomendadas</w:t>
      </w:r>
    </w:p>
    <w:p>
      <w:pPr>
        <w:spacing w:after="60"/>
      </w:pPr>
      <w:r>
        <w:rPr>
          <w:color w:val="6B7280"/>
          <w:sz w:val="17"/>
        </w:rPr>
        <w:t>DAMACENO FILHO, Sebastião; DARIUS, Rebeca Pizza Pancotte. Gestão de crises e conflitos: percepções e estratégias de diretores escolares. Doxa: Revista Brasileira de Psicologia da Educação, v. 26, e025008, 2025. DOI: 10.30715/doxa.v26i00.20081.</w:t>
      </w:r>
    </w:p>
    <w:p>
      <w:pPr>
        <w:spacing w:after="60"/>
      </w:pPr>
      <w:r>
        <w:rPr>
          <w:color w:val="6B7280"/>
          <w:sz w:val="17"/>
        </w:rPr>
        <w:t>IIEP-UNESCO. Crisis-sensitive educational planning. Atualização 2026.</w:t>
      </w:r>
    </w:p>
    <w:p>
      <w:pPr>
        <w:spacing w:after="60"/>
      </w:pPr>
      <w:r>
        <w:rPr>
          <w:color w:val="6B7280"/>
          <w:sz w:val="17"/>
        </w:rPr>
        <w:t>IIEP-UNESCO. Responding to crisis: when leadership and resilience go hand in hand. 2022.</w:t>
      </w:r>
    </w:p>
    <w:p>
      <w:pPr>
        <w:spacing w:after="60"/>
      </w:pPr>
      <w:r>
        <w:rPr>
          <w:color w:val="6B7280"/>
          <w:sz w:val="17"/>
        </w:rPr>
        <w:t>UNESCO. Conflict-sensitive and risk-informed planning in education. Paris: UNESCO/IIEP.</w:t>
      </w:r>
    </w:p>
    <w:p>
      <w:pPr>
        <w:spacing w:before="120"/>
        <w:jc w:val="center"/>
      </w:pPr>
      <w:r>
        <w:rPr>
          <w:color w:val="6B7280"/>
          <w:sz w:val="16"/>
        </w:rPr>
        <w:t>© 2026 • Prof. Eng. Josecler Silva • Conteúdo autoral para publicação profissional</w:t>
      </w:r>
    </w:p>
    <w:sectPr w:rsidR="00FC693F" w:rsidRPr="0006063C" w:rsidSect="00034616">
      <w:headerReference w:type="default" r:id="rId9"/>
      <w:footerReference w:type="default" r:id="rId10"/>
      <w:pgSz w:w="12240" w:h="15840"/>
      <w:pgMar w:top="1037" w:right="1181" w:bottom="1123" w:left="1181"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8" w:space="3" w:color="B8860B"/>
      </w:pBdr>
    </w:pPr>
    <w:r>
      <w:rPr>
        <w:b/>
        <w:color w:val="26313D"/>
        <w:sz w:val="18"/>
      </w:rPr>
      <w:t>Prof. Eng. Josecler Silva</w:t>
    </w:r>
  </w:p>
  <w:p>
    <w:pPr>
      <w:jc w:val="right"/>
    </w:pPr>
    <w:r>
      <w:rPr>
        <w:color w:val="55606C"/>
        <w:sz w:val="16"/>
      </w:rPr>
      <w:t xml:space="preserve">Página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anchor distT="0" distB="0" distL="0" distR="0" simplePos="0" relativeHeight="0" behindDoc="1" locked="0" layoutInCell="1" allowOverlap="1">
          <wp:simplePos x="0" y="0"/>
          <wp:positionH relativeFrom="page">
            <wp:align>center</wp:align>
          </wp:positionH>
          <wp:positionV relativeFrom="page">
            <wp:align>center</wp:align>
          </wp:positionV>
          <wp:extent cx="5394960" cy="3036278"/>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_watermark.png"/>
                  <pic:cNvPicPr/>
                </pic:nvPicPr>
                <pic:blipFill>
                  <a:blip r:embed="rId1"/>
                  <a:stretch>
                    <a:fillRect/>
                  </a:stretch>
                </pic:blipFill>
                <pic:spPr>
                  <a:xfrm>
                    <a:off x="0" y="0"/>
                    <a:ext cx="5394960" cy="3036278"/>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ptos" w:hAnsi="Aptos"/>
      <w:color w:val="26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26313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8860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6313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 na Prática Pedagógica: de ameaça percebida a copiloto do professor</dc:title>
  <dc:subject>INTELIGÊNCIA ARTIFICIAL E COPILOTOS EDUCACIONAIS</dc:subject>
  <dc:creator>Prof. Eng. Josecler Silva</dc:creator>
  <cp:keywords>IA na educação; inteligência artificial; professor; planejamento de aula; avaliação; copiloto educacional; educação 2026</cp:keywords>
  <dc:description>Artigo profissional para publicação em site. Atualizado em agosto de 2026.</dc:description>
  <cp:lastModifiedBy/>
  <cp:revision>1</cp:revision>
  <dcterms:created xsi:type="dcterms:W3CDTF">2013-12-23T23:15:00Z</dcterms:created>
  <dcterms:modified xsi:type="dcterms:W3CDTF">2013-12-23T23:15:00Z</dcterms:modified>
  <cp:category/>
</cp:coreProperties>
</file>